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0" w:after="200" w:line="276" w:lineRule="auto"/>
        <w:jc w:val="left"/>
        <w:rPr>
          <w:b w:val="1"/>
          <w:bCs w:val="1"/>
          <w:sz w:val="32"/>
          <w:szCs w:val="32"/>
        </w:rPr>
      </w:pPr>
      <w:bookmarkStart w:name="_Hlk80253392" w:id="0"/>
    </w:p>
    <w:p>
      <w:pPr>
        <w:pStyle w:val="Body"/>
        <w:spacing w:before="0" w:after="200" w:line="276" w:lineRule="auto"/>
        <w:jc w:val="left"/>
        <w:rPr>
          <w:b w:val="1"/>
          <w:bCs w:val="1"/>
          <w:sz w:val="32"/>
          <w:szCs w:val="32"/>
        </w:rPr>
      </w:pPr>
      <w:r>
        <w:rPr>
          <w:b w:val="1"/>
          <w:bCs w:val="1"/>
          <w:sz w:val="32"/>
          <w:szCs w:val="32"/>
          <w:rtl w:val="0"/>
          <w:lang w:val="en-US"/>
        </w:rPr>
        <w:t>Deputy Head of Centre job description</w:t>
      </w: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e3e3e3"/>
        <w:tblLayout w:type="fixed"/>
      </w:tblPr>
      <w:tblGrid>
        <w:gridCol w:w="4508"/>
        <w:gridCol w:w="4508"/>
      </w:tblGrid>
      <w:tr>
        <w:tblPrEx>
          <w:shd w:val="clear" w:color="auto" w:fill="e3e3e3"/>
        </w:tblPrEx>
        <w:trPr>
          <w:trHeight w:val="407" w:hRule="atLeast"/>
        </w:trPr>
        <w:tc>
          <w:tcPr>
            <w:tcW w:type="dxa" w:w="90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41e42"/>
            <w:tcMar>
              <w:top w:type="dxa" w:w="80"/>
              <w:left w:type="dxa" w:w="80"/>
              <w:bottom w:type="dxa" w:w="80"/>
              <w:right w:type="dxa" w:w="80"/>
            </w:tcMar>
            <w:vAlign w:val="center"/>
          </w:tcPr>
          <w:p>
            <w:pPr>
              <w:pStyle w:val="Body"/>
              <w:spacing w:before="100" w:after="100" w:line="276" w:lineRule="auto"/>
              <w:jc w:val="center"/>
            </w:pPr>
            <w:r>
              <w:rPr>
                <w:b w:val="1"/>
                <w:bCs w:val="1"/>
                <w:outline w:val="0"/>
                <w:color w:val="ffffff"/>
                <w:u w:color="ffffff"/>
                <w:shd w:val="nil" w:color="auto" w:fill="auto"/>
                <w:rtl w:val="0"/>
                <w:lang w:val="en-US"/>
                <w14:textFill>
                  <w14:solidFill>
                    <w14:srgbClr w14:val="FFFFFF"/>
                  </w14:solidFill>
                </w14:textFill>
              </w:rPr>
              <w:t>Employment details</w:t>
            </w:r>
          </w:p>
        </w:tc>
      </w:tr>
      <w:tr>
        <w:tblPrEx>
          <w:shd w:val="clear" w:color="auto" w:fill="e3e3e3"/>
        </w:tblPrEx>
        <w:trPr>
          <w:trHeight w:val="40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cecec"/>
            <w:tcMar>
              <w:top w:type="dxa" w:w="80"/>
              <w:left w:type="dxa" w:w="80"/>
              <w:bottom w:type="dxa" w:w="80"/>
              <w:right w:type="dxa" w:w="80"/>
            </w:tcMar>
            <w:vAlign w:val="center"/>
          </w:tcPr>
          <w:p>
            <w:pPr>
              <w:pStyle w:val="Body"/>
              <w:spacing w:before="100" w:after="100" w:line="276" w:lineRule="auto"/>
              <w:jc w:val="left"/>
            </w:pPr>
            <w:r>
              <w:rPr>
                <w:shd w:val="nil" w:color="auto" w:fill="auto"/>
                <w:rtl w:val="0"/>
                <w:lang w:val="en-US"/>
              </w:rPr>
              <w:t>Job title</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00" w:after="100" w:line="276" w:lineRule="auto"/>
              <w:jc w:val="left"/>
            </w:pPr>
            <w:r>
              <w:rPr>
                <w:b w:val="1"/>
                <w:bCs w:val="1"/>
                <w:shd w:val="nil" w:color="auto" w:fill="auto"/>
                <w:rtl w:val="0"/>
                <w:lang w:val="en-US"/>
              </w:rPr>
              <w:t>School Office Manager</w:t>
            </w:r>
          </w:p>
        </w:tc>
      </w:tr>
      <w:tr>
        <w:tblPrEx>
          <w:shd w:val="clear" w:color="auto" w:fill="e3e3e3"/>
        </w:tblPrEx>
        <w:trPr>
          <w:trHeight w:val="40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cecec"/>
            <w:tcMar>
              <w:top w:type="dxa" w:w="80"/>
              <w:left w:type="dxa" w:w="80"/>
              <w:bottom w:type="dxa" w:w="80"/>
              <w:right w:type="dxa" w:w="80"/>
            </w:tcMar>
            <w:vAlign w:val="center"/>
          </w:tcPr>
          <w:p>
            <w:pPr>
              <w:pStyle w:val="Body"/>
              <w:spacing w:before="100" w:after="100" w:line="276" w:lineRule="auto"/>
              <w:jc w:val="left"/>
            </w:pPr>
            <w:r>
              <w:rPr>
                <w:shd w:val="nil" w:color="auto" w:fill="auto"/>
                <w:rtl w:val="0"/>
                <w:lang w:val="en-US"/>
              </w:rPr>
              <w:t>Reports to</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00" w:after="100" w:line="276" w:lineRule="auto"/>
              <w:jc w:val="left"/>
            </w:pPr>
            <w:r>
              <w:rPr>
                <w:outline w:val="0"/>
                <w:color w:val="000000"/>
                <w:u w:color="000000"/>
                <w:shd w:val="nil" w:color="auto" w:fill="auto"/>
                <w:rtl w:val="0"/>
                <w:lang w:val="en-US"/>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 xml:space="preserve">28,000 - </w:t>
            </w:r>
            <w:r>
              <w:rPr>
                <w:outline w:val="0"/>
                <w:color w:val="000000"/>
                <w:u w:color="000000"/>
                <w:shd w:val="nil" w:color="auto" w:fill="auto"/>
                <w:rtl w:val="0"/>
                <w:lang w:val="en-US"/>
                <w14:textFill>
                  <w14:solidFill>
                    <w14:srgbClr w14:val="000000"/>
                  </w14:solidFill>
                </w14:textFill>
              </w:rPr>
              <w:t>£</w:t>
            </w:r>
            <w:r>
              <w:rPr>
                <w:outline w:val="0"/>
                <w:color w:val="000000"/>
                <w:u w:color="000000"/>
                <w:shd w:val="nil" w:color="auto" w:fill="auto"/>
                <w:rtl w:val="0"/>
                <w:lang w:val="en-US"/>
                <w14:textFill>
                  <w14:solidFill>
                    <w14:srgbClr w14:val="000000"/>
                  </w14:solidFill>
                </w14:textFill>
              </w:rPr>
              <w:t>32,000</w:t>
            </w:r>
          </w:p>
        </w:tc>
      </w:tr>
      <w:tr>
        <w:tblPrEx>
          <w:shd w:val="clear" w:color="auto" w:fill="e3e3e3"/>
        </w:tblPrEx>
        <w:trPr>
          <w:trHeight w:val="40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cecec"/>
            <w:tcMar>
              <w:top w:type="dxa" w:w="80"/>
              <w:left w:type="dxa" w:w="80"/>
              <w:bottom w:type="dxa" w:w="80"/>
              <w:right w:type="dxa" w:w="80"/>
            </w:tcMar>
            <w:vAlign w:val="center"/>
          </w:tcPr>
          <w:p>
            <w:pPr>
              <w:pStyle w:val="Body"/>
              <w:spacing w:before="100" w:after="100" w:line="276" w:lineRule="auto"/>
              <w:jc w:val="left"/>
            </w:pPr>
            <w:r>
              <w:rPr>
                <w:shd w:val="nil" w:color="auto" w:fill="auto"/>
                <w:rtl w:val="0"/>
                <w:lang w:val="en-US"/>
              </w:rPr>
              <w:t>Hours of work</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00" w:after="100" w:line="276" w:lineRule="auto"/>
              <w:jc w:val="left"/>
            </w:pPr>
            <w:r>
              <w:rPr>
                <w:shd w:val="nil" w:color="auto" w:fill="auto"/>
                <w:rtl w:val="0"/>
                <w:lang w:val="en-US"/>
              </w:rPr>
              <w:t>37</w:t>
            </w:r>
          </w:p>
        </w:tc>
      </w:tr>
      <w:tr>
        <w:tblPrEx>
          <w:shd w:val="clear" w:color="auto" w:fill="e3e3e3"/>
        </w:tblPrEx>
        <w:trPr>
          <w:trHeight w:val="407" w:hRule="atLeast"/>
        </w:trPr>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cecec"/>
            <w:tcMar>
              <w:top w:type="dxa" w:w="80"/>
              <w:left w:type="dxa" w:w="80"/>
              <w:bottom w:type="dxa" w:w="80"/>
              <w:right w:type="dxa" w:w="80"/>
            </w:tcMar>
            <w:vAlign w:val="center"/>
          </w:tcPr>
          <w:p>
            <w:pPr>
              <w:pStyle w:val="Body"/>
              <w:spacing w:before="100" w:after="100" w:line="276" w:lineRule="auto"/>
              <w:jc w:val="left"/>
            </w:pPr>
            <w:r>
              <w:rPr>
                <w:shd w:val="nil" w:color="auto" w:fill="auto"/>
                <w:rtl w:val="0"/>
                <w:lang w:val="en-US"/>
              </w:rPr>
              <w:t>Salary</w:t>
            </w:r>
          </w:p>
        </w:tc>
        <w:tc>
          <w:tcPr>
            <w:tcW w:type="dxa" w:w="4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100" w:after="100" w:line="276" w:lineRule="auto"/>
              <w:jc w:val="left"/>
            </w:pPr>
            <w:r>
              <w:rPr>
                <w:outline w:val="0"/>
                <w:color w:val="000000"/>
                <w:u w:color="000000"/>
                <w:shd w:val="nil" w:color="auto" w:fill="auto"/>
                <w:rtl w:val="0"/>
                <w:lang w:val="en-US"/>
                <w14:textFill>
                  <w14:solidFill>
                    <w14:srgbClr w14:val="000000"/>
                  </w14:solidFill>
                </w14:textFill>
              </w:rPr>
              <w:t xml:space="preserve">Negotiable </w:t>
            </w:r>
          </w:p>
        </w:tc>
      </w:tr>
    </w:tbl>
    <w:p>
      <w:pPr>
        <w:pStyle w:val="Body"/>
        <w:widowControl w:val="0"/>
        <w:spacing w:before="0" w:after="200"/>
        <w:jc w:val="left"/>
        <w:rPr>
          <w:b w:val="1"/>
          <w:bCs w:val="1"/>
          <w:sz w:val="32"/>
          <w:szCs w:val="32"/>
        </w:rPr>
      </w:pPr>
    </w:p>
    <w:p>
      <w:pPr>
        <w:pStyle w:val="Body"/>
      </w:pPr>
    </w:p>
    <w:p>
      <w:pPr>
        <w:pStyle w:val="Default"/>
        <w:bidi w:val="0"/>
        <w:spacing w:before="0" w:after="24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As a thriving and growing school Red Balloon Norwich are searching for a dynamic, proactive and enthusiastic Office Manager. This is a full time position and permanent position available immediately.</w:t>
      </w:r>
    </w:p>
    <w:p>
      <w:pPr>
        <w:pStyle w:val="Default"/>
        <w:bidi w:val="0"/>
        <w:spacing w:before="0" w:after="24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This is a nurturing and caring school, which is collaborative and has a clear mission to support vulnerable young people aged 11-17 with severe anxiety and SEMH to re-engage with their learning. The Head of Centre strongly advocates a holistic education and encourages all pupils to enjoy their time at school. Staff work together to deliver engaging and bespoke lessons.</w:t>
      </w:r>
    </w:p>
    <w:p>
      <w:pPr>
        <w:pStyle w:val="Default"/>
        <w:bidi w:val="0"/>
        <w:spacing w:before="0" w:after="24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The Head of Centre seeks a dynamic and experienced person to take up a vital role of helping run a busy school office. This role is requires attention to detail. There will be administrative as well as operative requirements including oversight of the school timetable. The successful candidate will be working collaboratively with all school stakeholders and will support the Head of Centre to ensure all 32 Independent School Standards are met. You will also be communicating with parents and liaising with external contractors for the efficient running of the school. This role requires the successful candidate to be proactive, dynamic, organised and hardworking. In return there is an enjoyable, fun, collaborative environment and you will be an important team member.</w:t>
      </w:r>
    </w:p>
    <w:p>
      <w:pPr>
        <w:pStyle w:val="Default"/>
        <w:bidi w:val="0"/>
        <w:spacing w:before="0" w:after="240" w:line="240" w:lineRule="auto"/>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If you are interested in working in an office at a vibrant and nurturing independent school, please apply now. Or call Mark Anderson Head of Centre for an informal conversation, job description and application form. The school will ensure any successful applicant will undergo a full enhanced with barred criminal record check (DBS).</w:t>
      </w:r>
    </w:p>
    <w:p>
      <w:pPr>
        <w:pStyle w:val="Default"/>
        <w:bidi w:val="0"/>
        <w:spacing w:before="0" w:after="240" w:line="240" w:lineRule="auto"/>
        <w:ind w:left="0" w:right="0" w:firstLine="0"/>
        <w:jc w:val="left"/>
        <w:rPr>
          <w:rFonts w:ascii="Arial" w:cs="Arial" w:hAnsi="Arial" w:eastAsia="Arial"/>
          <w:b w:val="1"/>
          <w:bCs w:val="1"/>
          <w:sz w:val="22"/>
          <w:szCs w:val="22"/>
          <w:rtl w:val="0"/>
        </w:rPr>
      </w:pPr>
    </w:p>
    <w:p>
      <w:pPr>
        <w:pStyle w:val="Default"/>
        <w:bidi w:val="0"/>
        <w:spacing w:before="0" w:line="240" w:lineRule="auto"/>
        <w:ind w:left="0" w:right="0" w:firstLine="0"/>
        <w:jc w:val="left"/>
        <w:rPr>
          <w:rFonts w:ascii="Arial" w:cs="Arial" w:hAnsi="Arial" w:eastAsia="Arial"/>
          <w:b w:val="1"/>
          <w:bCs w:val="1"/>
          <w:sz w:val="22"/>
          <w:szCs w:val="22"/>
          <w:rtl w:val="0"/>
        </w:rPr>
      </w:pP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"mailto:mark.Anderson@rbnorwich.org.uk"</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m</w:t>
      </w:r>
      <w:r>
        <w:rPr>
          <w:rStyle w:val="Hyperlink.0"/>
          <w:rFonts w:ascii="Times Roman" w:hAnsi="Times Roman"/>
          <w:rtl w:val="0"/>
        </w:rPr>
        <w:t>ark.Anderson@rbnorwich.org.uk</w:t>
      </w:r>
      <w:r>
        <w:rPr>
          <w:rFonts w:ascii="Times Roman" w:cs="Times Roman" w:hAnsi="Times Roman" w:eastAsia="Times Roman"/>
          <w:rtl w:val="0"/>
        </w:rPr>
        <w:fldChar w:fldCharType="end" w:fldLock="0"/>
      </w:r>
    </w:p>
    <w:p>
      <w:pPr>
        <w:pStyle w:val="Default"/>
        <w:bidi w:val="0"/>
        <w:spacing w:before="0" w:line="240" w:lineRule="auto"/>
        <w:ind w:left="0" w:right="0" w:firstLine="0"/>
        <w:jc w:val="left"/>
        <w:rPr>
          <w:rtl w:val="0"/>
        </w:rPr>
      </w:pPr>
      <w:r>
        <w:rPr>
          <w:rFonts w:ascii="Arial" w:hAnsi="Arial"/>
          <w:b w:val="1"/>
          <w:bCs w:val="1"/>
          <w:sz w:val="22"/>
          <w:szCs w:val="22"/>
          <w:rtl w:val="0"/>
        </w:rPr>
        <w:t>01603 622288</w:t>
      </w:r>
      <w:bookmarkEnd w:id="0"/>
    </w:p>
    <w:sectPr>
      <w:headerReference w:type="default" r:id="rId4"/>
      <w:headerReference w:type="first" r:id="rId5"/>
      <w:footerReference w:type="default" r:id="rId6"/>
      <w:footerReference w:type="first" r:id="rId7"/>
      <w:pgSz w:w="11900" w:h="16840" w:orient="portrait"/>
      <w:pgMar w:top="1521" w:right="1440" w:bottom="1440" w:left="144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rPr>
        <w:rtl w:val="0"/>
        <w:lang w:val="en-US"/>
      </w:rPr>
      <w:t>Red Balloon Norwich</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ee"/>
      <w:u w:val="single" w:color="0000ee"/>
      <w14:textFill>
        <w14:solidFill>
          <w14:srgbClr w14:val="0000E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B1B1B1"/>
      </a:accent1>
      <a:accent2>
        <a:srgbClr val="041E42"/>
      </a:accent2>
      <a:accent3>
        <a:srgbClr val="021125"/>
      </a:accent3>
      <a:accent4>
        <a:srgbClr val="47D7AC"/>
      </a:accent4>
      <a:accent5>
        <a:srgbClr val="FF6900"/>
      </a:accent5>
      <a:accent6>
        <a:srgbClr val="70707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